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iraMinPro-W3" w:cs="HiraMinPro-W3" w:eastAsia="HiraMinPro-W3" w:hAnsi="HiraMinPro-W3"/>
          <w:sz w:val="24"/>
          <w:szCs w:val="24"/>
        </w:rPr>
      </w:pPr>
      <w:r w:rsidDel="00000000" w:rsidR="00000000" w:rsidRPr="00000000">
        <w:rPr>
          <w:rFonts w:ascii="HiraMinPro-W3" w:cs="HiraMinPro-W3" w:eastAsia="HiraMinPro-W3" w:hAnsi="HiraMinPro-W3"/>
          <w:sz w:val="24"/>
          <w:szCs w:val="24"/>
          <w:rtl w:val="0"/>
        </w:rPr>
        <w:t xml:space="preserve">給食無償化に際し、質・量の確保を担保するための国による十分な予算措置を求める意見書（案）</w:t>
      </w:r>
    </w:p>
    <w:p w:rsidR="00000000" w:rsidDel="00000000" w:rsidP="00000000" w:rsidRDefault="00000000" w:rsidRPr="00000000" w14:paraId="00000002">
      <w:pPr>
        <w:jc w:val="cente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03">
      <w:pPr>
        <w:jc w:val="cente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04">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学校給食は、子どもたちの日々の食事の3分の1を占め、成長期にある児童・生徒の心身の発達において極めて重要な役割を果たしている。</w:t>
      </w:r>
    </w:p>
    <w:p w:rsidR="00000000" w:rsidDel="00000000" w:rsidP="00000000" w:rsidRDefault="00000000" w:rsidRPr="00000000" w14:paraId="00000005">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しかしながら、現在、物価高騰の影響により、一部の自治体では給食の質および量の確保が困難となっている実態がある。</w:t>
      </w:r>
    </w:p>
    <w:p w:rsidR="00000000" w:rsidDel="00000000" w:rsidP="00000000" w:rsidRDefault="00000000" w:rsidRPr="00000000" w14:paraId="00000006">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このような中、国による給食無償化の実現は、給食の安定供給と、子育て支援や少子化対策への貢献という両面から、極めて重要な政策的意義を有する。政府は、小学校における全国一律の給食無償化を令和8年度から実施し、中学校についても可能な限り早期の実現を図る方針を示している。</w:t>
      </w:r>
    </w:p>
    <w:p w:rsidR="00000000" w:rsidDel="00000000" w:rsidP="00000000" w:rsidRDefault="00000000" w:rsidRPr="00000000" w14:paraId="00000007">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しかしながら、全国一律の無償化により、自治体においては限られた予算内で給食費をまかなう必要が生じ、その結果、物価高騰や米不足等の影響により、給食の質や量が低下しかねず、自治体ごとに格差が生じるおそれがある。</w:t>
      </w:r>
    </w:p>
    <w:p w:rsidR="00000000" w:rsidDel="00000000" w:rsidP="00000000" w:rsidRDefault="00000000" w:rsidRPr="00000000" w14:paraId="00000008">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w:t>
      </w:r>
      <w:r w:rsidDel="00000000" w:rsidR="00000000" w:rsidRPr="00000000">
        <w:rPr>
          <w:rFonts w:ascii="HiraMinPro-W3" w:cs="HiraMinPro-W3" w:eastAsia="HiraMinPro-W3" w:hAnsi="HiraMinPro-W3"/>
          <w:rtl w:val="0"/>
        </w:rPr>
        <w:t xml:space="preserve">したがって、無償化は家庭の経済的負担軽減という側面のみならず、給食の質と量の維持・向上という観点からも実施されなければならない。</w:t>
      </w:r>
    </w:p>
    <w:p w:rsidR="00000000" w:rsidDel="00000000" w:rsidP="00000000" w:rsidRDefault="00000000" w:rsidRPr="00000000" w14:paraId="00000009">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給食の質の充実については、地産地消の推進や食育の強化、有機食材の使用拡大を求める声が高まっている。一方で、日本の食料自給率は38％にまで低下しており、第一次産業の振興や食育の観点からも、地産地消のさらなる推進が必要である。</w:t>
      </w:r>
    </w:p>
    <w:p w:rsidR="00000000" w:rsidDel="00000000" w:rsidP="00000000" w:rsidRDefault="00000000" w:rsidRPr="00000000" w14:paraId="0000000A">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加えて、農林水産省の「みどりの食料システム戦略」では、2050年までに化学農薬の使用量を50％低減、化学肥料を30％低減し、有機農業の取組面積を全体の25％に拡大することを目標としており、有機食材の使用拡大は、環境の持続可能性や健康増進の観点からも、行政が先導的に取り組むべき重要課題である。</w:t>
      </w:r>
    </w:p>
    <w:p w:rsidR="00000000" w:rsidDel="00000000" w:rsidP="00000000" w:rsidRDefault="00000000" w:rsidRPr="00000000" w14:paraId="0000000B">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　よって、国による給食無償化の実施にあたっては、すべての児童・生徒の健やかな成長を促す上において、給食の質および量の担保を可能とする十分な予算措置を講じるとともに、自治体格差が生じないよう下記の事項について特段の取り組みを強く求める。</w:t>
      </w:r>
    </w:p>
    <w:p w:rsidR="00000000" w:rsidDel="00000000" w:rsidP="00000000" w:rsidRDefault="00000000" w:rsidRPr="00000000" w14:paraId="0000000C">
      <w:pP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0D">
      <w:pP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0E">
      <w:pP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0F">
      <w:pPr>
        <w:jc w:val="center"/>
        <w:rPr>
          <w:rFonts w:ascii="HiraMinPro-W3" w:cs="HiraMinPro-W3" w:eastAsia="HiraMinPro-W3" w:hAnsi="HiraMinPro-W3"/>
        </w:rPr>
      </w:pPr>
      <w:r w:rsidDel="00000000" w:rsidR="00000000" w:rsidRPr="00000000">
        <w:rPr>
          <w:rFonts w:ascii="HiraMinPro-W3" w:cs="HiraMinPro-W3" w:eastAsia="HiraMinPro-W3" w:hAnsi="HiraMinPro-W3"/>
          <w:rtl w:val="0"/>
        </w:rPr>
        <w:t xml:space="preserve">記</w:t>
      </w:r>
    </w:p>
    <w:p w:rsidR="00000000" w:rsidDel="00000000" w:rsidP="00000000" w:rsidRDefault="00000000" w:rsidRPr="00000000" w14:paraId="00000010">
      <w:pPr>
        <w:jc w:val="cente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11">
      <w:pPr>
        <w:ind w:left="0" w:firstLine="0"/>
        <w:rPr>
          <w:rFonts w:ascii="HiraMinPro-W3" w:cs="HiraMinPro-W3" w:eastAsia="HiraMinPro-W3" w:hAnsi="HiraMinPro-W3"/>
        </w:rPr>
      </w:pPr>
      <w:r w:rsidDel="00000000" w:rsidR="00000000" w:rsidRPr="00000000">
        <w:rPr>
          <w:rFonts w:ascii="HiraMinPro-W3" w:cs="HiraMinPro-W3" w:eastAsia="HiraMinPro-W3" w:hAnsi="HiraMinPro-W3"/>
          <w:rtl w:val="0"/>
        </w:rPr>
        <w:t xml:space="preserve">一. 給食無償化の実施にあたっては、物価高騰等の影響により給食の質や量が低下することのないよう、国による適切な制度設計と十分な予算措置を講じること</w:t>
        <w:br w:type="textWrapping"/>
      </w:r>
    </w:p>
    <w:p w:rsidR="00000000" w:rsidDel="00000000" w:rsidP="00000000" w:rsidRDefault="00000000" w:rsidRPr="00000000" w14:paraId="00000012">
      <w:pPr>
        <w:ind w:left="720" w:firstLine="0"/>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13">
      <w:pPr>
        <w:ind w:left="0" w:firstLine="0"/>
        <w:rPr>
          <w:rFonts w:ascii="HiraMinPro-W3" w:cs="HiraMinPro-W3" w:eastAsia="HiraMinPro-W3" w:hAnsi="HiraMinPro-W3"/>
        </w:rPr>
      </w:pPr>
      <w:r w:rsidDel="00000000" w:rsidR="00000000" w:rsidRPr="00000000">
        <w:rPr>
          <w:rFonts w:ascii="HiraMinPro-W3" w:cs="HiraMinPro-W3" w:eastAsia="HiraMinPro-W3" w:hAnsi="HiraMinPro-W3"/>
          <w:rtl w:val="0"/>
        </w:rPr>
        <w:t xml:space="preserve">一. 地産地消の推進、食育の充実、有機食材の使用拡大など、質の高い給食を安定的に提供できる体制を構築すること</w:t>
        <w:br w:type="textWrapping"/>
      </w:r>
    </w:p>
    <w:p w:rsidR="00000000" w:rsidDel="00000000" w:rsidP="00000000" w:rsidRDefault="00000000" w:rsidRPr="00000000" w14:paraId="00000014">
      <w:pPr>
        <w:ind w:left="0" w:firstLine="0"/>
        <w:rPr>
          <w:rFonts w:ascii="HiraMinPro-W3" w:cs="HiraMinPro-W3" w:eastAsia="HiraMinPro-W3" w:hAnsi="HiraMinPro-W3"/>
        </w:rPr>
      </w:pPr>
      <w:r w:rsidDel="00000000" w:rsidR="00000000" w:rsidRPr="00000000">
        <w:rPr>
          <w:rFonts w:ascii="HiraMinPro-W3" w:cs="HiraMinPro-W3" w:eastAsia="HiraMinPro-W3" w:hAnsi="HiraMinPro-W3"/>
          <w:rtl w:val="0"/>
        </w:rPr>
        <w:t xml:space="preserve">一. 長期欠席児童生徒や、学校外で学ぶ子どもたちにも給食無償化の恩恵が及ぶよう、柔軟かつ実効性のある支援制度を整備すること</w:t>
      </w:r>
    </w:p>
    <w:p w:rsidR="00000000" w:rsidDel="00000000" w:rsidP="00000000" w:rsidRDefault="00000000" w:rsidRPr="00000000" w14:paraId="00000015">
      <w:pPr>
        <w:ind w:left="720" w:firstLine="0"/>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16">
      <w:pPr>
        <w:ind w:left="720" w:firstLine="0"/>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17">
      <w:pPr>
        <w:ind w:left="0" w:firstLine="0"/>
        <w:rPr>
          <w:rFonts w:ascii="HiraMinPro-W3" w:cs="HiraMinPro-W3" w:eastAsia="HiraMinPro-W3" w:hAnsi="HiraMinPro-W3"/>
        </w:rPr>
      </w:pPr>
      <w:r w:rsidDel="00000000" w:rsidR="00000000" w:rsidRPr="00000000">
        <w:rPr>
          <w:rFonts w:ascii="HiraMinPro-W3" w:cs="HiraMinPro-W3" w:eastAsia="HiraMinPro-W3" w:hAnsi="HiraMinPro-W3"/>
          <w:rtl w:val="0"/>
        </w:rPr>
        <w:t xml:space="preserve">以上、地方自治法第99条に基づき意見書を提出する。</w:t>
      </w:r>
    </w:p>
    <w:p w:rsidR="00000000" w:rsidDel="00000000" w:rsidP="00000000" w:rsidRDefault="00000000" w:rsidRPr="00000000" w14:paraId="00000018">
      <w:pP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19">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令和　年　月　日</w:t>
      </w:r>
    </w:p>
    <w:p w:rsidR="00000000" w:rsidDel="00000000" w:rsidP="00000000" w:rsidRDefault="00000000" w:rsidRPr="00000000" w14:paraId="0000001A">
      <w:pPr>
        <w:rPr>
          <w:rFonts w:ascii="HiraMinPro-W3" w:cs="HiraMinPro-W3" w:eastAsia="HiraMinPro-W3" w:hAnsi="HiraMinPro-W3"/>
        </w:rPr>
      </w:pPr>
      <w:r w:rsidDel="00000000" w:rsidR="00000000" w:rsidRPr="00000000">
        <w:rPr>
          <w:rtl w:val="0"/>
        </w:rPr>
      </w:r>
    </w:p>
    <w:p w:rsidR="00000000" w:rsidDel="00000000" w:rsidP="00000000" w:rsidRDefault="00000000" w:rsidRPr="00000000" w14:paraId="0000001B">
      <w:pPr>
        <w:jc w:val="right"/>
        <w:rPr>
          <w:rFonts w:ascii="HiraMinPro-W3" w:cs="HiraMinPro-W3" w:eastAsia="HiraMinPro-W3" w:hAnsi="HiraMinPro-W3"/>
        </w:rPr>
      </w:pPr>
      <w:r w:rsidDel="00000000" w:rsidR="00000000" w:rsidRPr="00000000">
        <w:rPr>
          <w:rFonts w:ascii="HiraMinPro-W3" w:cs="HiraMinPro-W3" w:eastAsia="HiraMinPro-W3" w:hAnsi="HiraMinPro-W3"/>
          <w:rtl w:val="0"/>
        </w:rPr>
        <w:t xml:space="preserve">〇〇議会議長　　〇〇 〇〇</w:t>
      </w:r>
    </w:p>
    <w:p w:rsidR="00000000" w:rsidDel="00000000" w:rsidP="00000000" w:rsidRDefault="00000000" w:rsidRPr="00000000" w14:paraId="0000001C">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衆議院議長　　　額賀 福志郎 様</w:t>
      </w:r>
    </w:p>
    <w:p w:rsidR="00000000" w:rsidDel="00000000" w:rsidP="00000000" w:rsidRDefault="00000000" w:rsidRPr="00000000" w14:paraId="0000001D">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参議院議長　　　関口 昌一 様</w:t>
      </w:r>
    </w:p>
    <w:p w:rsidR="00000000" w:rsidDel="00000000" w:rsidP="00000000" w:rsidRDefault="00000000" w:rsidRPr="00000000" w14:paraId="0000001E">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内閣総理大臣　　石破 茂 様</w:t>
      </w:r>
    </w:p>
    <w:p w:rsidR="00000000" w:rsidDel="00000000" w:rsidP="00000000" w:rsidRDefault="00000000" w:rsidRPr="00000000" w14:paraId="0000001F">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文部科学大臣　　阿部 俊子 様</w:t>
      </w:r>
    </w:p>
    <w:p w:rsidR="00000000" w:rsidDel="00000000" w:rsidP="00000000" w:rsidRDefault="00000000" w:rsidRPr="00000000" w14:paraId="00000020">
      <w:pPr>
        <w:rPr>
          <w:rFonts w:ascii="HiraMinPro-W3" w:cs="HiraMinPro-W3" w:eastAsia="HiraMinPro-W3" w:hAnsi="HiraMinPro-W3"/>
        </w:rPr>
      </w:pPr>
      <w:r w:rsidDel="00000000" w:rsidR="00000000" w:rsidRPr="00000000">
        <w:rPr>
          <w:rFonts w:ascii="HiraMinPro-W3" w:cs="HiraMinPro-W3" w:eastAsia="HiraMinPro-W3" w:hAnsi="HiraMinPro-W3"/>
          <w:rtl w:val="0"/>
        </w:rPr>
        <w:t xml:space="preserve">農林水産大臣　　小泉 進次郎 様</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iraMinPro-W3"/>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